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C1E" w14:textId="4043AB6C" w:rsidR="00C626D2" w:rsidRDefault="00791DB4">
      <w:r w:rsidRPr="0092390F">
        <w:t>Deze koopovereenkomst kan uiterlijk op …………… door verkoper worden ontbonden (datum, bijv. 2 weken na mededeling aan eerste koper) indien vaststaat dat de koopovereenkomst met …………… (naam eerste koper) door deze eerste koper onvoorwaardelijk gemaakt is.</w:t>
      </w:r>
    </w:p>
    <w:sectPr w:rsidR="00C6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B4"/>
    <w:rsid w:val="002A05F1"/>
    <w:rsid w:val="00791DB4"/>
    <w:rsid w:val="00A76C33"/>
    <w:rsid w:val="00C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8E8B"/>
  <w15:chartTrackingRefBased/>
  <w15:docId w15:val="{60B583C8-F247-49AE-9AAA-87E13B3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A76C3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1</cp:revision>
  <dcterms:created xsi:type="dcterms:W3CDTF">2023-03-02T14:47:00Z</dcterms:created>
  <dcterms:modified xsi:type="dcterms:W3CDTF">2023-03-02T14:50:00Z</dcterms:modified>
</cp:coreProperties>
</file>